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B5631" w14:textId="77777777" w:rsidR="001B6E27" w:rsidRPr="001B6E27" w:rsidRDefault="001B6E27" w:rsidP="001B6E27">
      <w:pPr>
        <w:jc w:val="center"/>
        <w:rPr>
          <w:rFonts w:ascii="Arial" w:hAnsi="Arial" w:cs="Arial"/>
          <w:b/>
          <w:bCs/>
        </w:rPr>
      </w:pPr>
      <w:proofErr w:type="gramStart"/>
      <w:r w:rsidRPr="001B6E27">
        <w:rPr>
          <w:rFonts w:ascii="Arial" w:hAnsi="Arial" w:cs="Arial"/>
          <w:b/>
          <w:bCs/>
        </w:rPr>
        <w:t>Newborns’</w:t>
      </w:r>
      <w:proofErr w:type="gramEnd"/>
      <w:r w:rsidRPr="001B6E27">
        <w:rPr>
          <w:rFonts w:ascii="Arial" w:hAnsi="Arial" w:cs="Arial"/>
          <w:b/>
          <w:bCs/>
        </w:rPr>
        <w:t xml:space="preserve"> and Mothers’ Health Protection Act Notice</w:t>
      </w:r>
    </w:p>
    <w:p w14:paraId="188670D7" w14:textId="77777777" w:rsidR="001B6E27" w:rsidRPr="001B6E27" w:rsidRDefault="001B6E27" w:rsidP="001B6E27">
      <w:pPr>
        <w:spacing w:after="0"/>
        <w:rPr>
          <w:rFonts w:ascii="Arial" w:hAnsi="Arial" w:cs="Arial"/>
          <w:sz w:val="22"/>
          <w:szCs w:val="22"/>
        </w:rPr>
      </w:pPr>
      <w:r w:rsidRPr="001B6E27">
        <w:rPr>
          <w:rFonts w:ascii="Arial" w:hAnsi="Arial" w:cs="Arial"/>
          <w:sz w:val="22"/>
          <w:szCs w:val="22"/>
        </w:rPr>
        <w:t>Group health plans and health insurance issuers generally may not, under federal law, restrict benefits for any hospital length of stay in connection with childbirth for the mother or newborn child to less than 48 hours following a vaginal delivery, or less than 96 hours following a cesarean section.</w:t>
      </w:r>
    </w:p>
    <w:p w14:paraId="13D5A253" w14:textId="77777777" w:rsidR="001B6E27" w:rsidRPr="001B6E27" w:rsidRDefault="001B6E27" w:rsidP="001B6E27">
      <w:pPr>
        <w:spacing w:after="0"/>
        <w:rPr>
          <w:rFonts w:ascii="Arial" w:hAnsi="Arial" w:cs="Arial"/>
          <w:sz w:val="22"/>
          <w:szCs w:val="22"/>
        </w:rPr>
      </w:pPr>
    </w:p>
    <w:p w14:paraId="78A3B62D" w14:textId="77777777" w:rsidR="001B6E27" w:rsidRPr="001B6E27" w:rsidRDefault="001B6E27" w:rsidP="001B6E27">
      <w:pPr>
        <w:spacing w:after="0"/>
        <w:rPr>
          <w:rFonts w:ascii="Arial" w:hAnsi="Arial" w:cs="Arial"/>
          <w:sz w:val="22"/>
          <w:szCs w:val="22"/>
        </w:rPr>
      </w:pPr>
      <w:r w:rsidRPr="001B6E27">
        <w:rPr>
          <w:rFonts w:ascii="Arial" w:hAnsi="Arial" w:cs="Arial"/>
          <w:sz w:val="22"/>
          <w:szCs w:val="22"/>
        </w:rPr>
        <w:t>However, federal law generally does not prohibit the mother’s or newborn’s attending provider, after consulting with the mother, from discharging the mother or her newborn earlier than 48 hours (or 96 hours as applicable).</w:t>
      </w:r>
    </w:p>
    <w:p w14:paraId="5BE52C16" w14:textId="77777777" w:rsidR="001B6E27" w:rsidRPr="001B6E27" w:rsidRDefault="001B6E27" w:rsidP="001B6E27">
      <w:pPr>
        <w:spacing w:after="0"/>
        <w:rPr>
          <w:rFonts w:ascii="Arial" w:hAnsi="Arial" w:cs="Arial"/>
          <w:sz w:val="22"/>
          <w:szCs w:val="22"/>
        </w:rPr>
      </w:pPr>
    </w:p>
    <w:p w14:paraId="3B90E6E4" w14:textId="77777777" w:rsidR="001B6E27" w:rsidRPr="001B6E27" w:rsidRDefault="001B6E27" w:rsidP="001B6E27">
      <w:pPr>
        <w:spacing w:after="0"/>
        <w:rPr>
          <w:rFonts w:ascii="Arial" w:hAnsi="Arial" w:cs="Arial"/>
          <w:sz w:val="22"/>
          <w:szCs w:val="22"/>
        </w:rPr>
      </w:pPr>
      <w:r w:rsidRPr="001B6E27">
        <w:rPr>
          <w:rFonts w:ascii="Arial" w:hAnsi="Arial" w:cs="Arial"/>
          <w:sz w:val="22"/>
          <w:szCs w:val="22"/>
        </w:rPr>
        <w:t xml:space="preserve">In any case, plans and issuers may not, under federal law, require that a provider obtain authorization from the plan or the insurance issuer for prescribing a length of stay not </w:t>
      </w:r>
      <w:proofErr w:type="gramStart"/>
      <w:r w:rsidRPr="001B6E27">
        <w:rPr>
          <w:rFonts w:ascii="Arial" w:hAnsi="Arial" w:cs="Arial"/>
          <w:sz w:val="22"/>
          <w:szCs w:val="22"/>
        </w:rPr>
        <w:t>in excess of</w:t>
      </w:r>
      <w:proofErr w:type="gramEnd"/>
      <w:r w:rsidRPr="001B6E27">
        <w:rPr>
          <w:rFonts w:ascii="Arial" w:hAnsi="Arial" w:cs="Arial"/>
          <w:sz w:val="22"/>
          <w:szCs w:val="22"/>
        </w:rPr>
        <w:t xml:space="preserve"> 48 hours (or 96 hours).</w:t>
      </w:r>
    </w:p>
    <w:p w14:paraId="014D018E" w14:textId="77777777" w:rsidR="001B6E27" w:rsidRPr="001B6E27" w:rsidRDefault="001B6E27" w:rsidP="001B6E27">
      <w:pPr>
        <w:spacing w:after="0"/>
        <w:rPr>
          <w:rFonts w:ascii="Arial" w:hAnsi="Arial" w:cs="Arial"/>
          <w:sz w:val="22"/>
          <w:szCs w:val="22"/>
        </w:rPr>
      </w:pPr>
    </w:p>
    <w:p w14:paraId="0B40E698" w14:textId="671E3399" w:rsidR="00640880" w:rsidRPr="001B6E27" w:rsidRDefault="001B6E27" w:rsidP="001B6E27">
      <w:pPr>
        <w:spacing w:after="0"/>
        <w:rPr>
          <w:rFonts w:ascii="Arial" w:hAnsi="Arial" w:cs="Arial"/>
          <w:sz w:val="22"/>
          <w:szCs w:val="22"/>
        </w:rPr>
      </w:pPr>
      <w:r w:rsidRPr="001B6E27">
        <w:rPr>
          <w:rFonts w:ascii="Arial" w:hAnsi="Arial" w:cs="Arial"/>
          <w:sz w:val="22"/>
          <w:szCs w:val="22"/>
        </w:rPr>
        <w:t>If you would like more information about maternity benefits under your plan, please review your Summary Plan Description (SPD) or contact MedCost Benefit Services</w:t>
      </w:r>
      <w:r w:rsidR="00C728F1">
        <w:rPr>
          <w:rFonts w:ascii="Arial" w:hAnsi="Arial" w:cs="Arial"/>
          <w:sz w:val="22"/>
          <w:szCs w:val="22"/>
        </w:rPr>
        <w:t>, LLC</w:t>
      </w:r>
      <w:r w:rsidRPr="001B6E27">
        <w:rPr>
          <w:rFonts w:ascii="Arial" w:hAnsi="Arial" w:cs="Arial"/>
          <w:sz w:val="22"/>
          <w:szCs w:val="22"/>
        </w:rPr>
        <w:t xml:space="preserve"> at 1-800-795-1023.</w:t>
      </w:r>
    </w:p>
    <w:sectPr w:rsidR="00640880" w:rsidRPr="001B6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E27"/>
    <w:rsid w:val="001B6E27"/>
    <w:rsid w:val="005C5BC2"/>
    <w:rsid w:val="005E0037"/>
    <w:rsid w:val="00640880"/>
    <w:rsid w:val="007D00D2"/>
    <w:rsid w:val="00A84060"/>
    <w:rsid w:val="00C728F1"/>
    <w:rsid w:val="00D25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38A8B"/>
  <w15:chartTrackingRefBased/>
  <w15:docId w15:val="{FB01FD19-632C-4703-8EAA-86220411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E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6E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6E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E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E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E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E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E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E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640880"/>
    <w:pPr>
      <w:spacing w:before="120" w:after="120" w:line="240" w:lineRule="auto"/>
    </w:pPr>
    <w:rPr>
      <w:rFonts w:ascii="Arial" w:eastAsia="Times New Roman" w:hAnsi="Arial" w:cstheme="minorHAnsi"/>
      <w:b/>
      <w:bCs/>
      <w:kern w:val="0"/>
      <w:sz w:val="20"/>
      <w:szCs w:val="20"/>
      <w14:ligatures w14:val="none"/>
    </w:rPr>
  </w:style>
  <w:style w:type="character" w:customStyle="1" w:styleId="Heading1Char">
    <w:name w:val="Heading 1 Char"/>
    <w:basedOn w:val="DefaultParagraphFont"/>
    <w:link w:val="Heading1"/>
    <w:uiPriority w:val="9"/>
    <w:rsid w:val="001B6E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E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E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E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E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E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E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E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E27"/>
    <w:rPr>
      <w:rFonts w:eastAsiaTheme="majorEastAsia" w:cstheme="majorBidi"/>
      <w:color w:val="272727" w:themeColor="text1" w:themeTint="D8"/>
    </w:rPr>
  </w:style>
  <w:style w:type="paragraph" w:styleId="Title">
    <w:name w:val="Title"/>
    <w:basedOn w:val="Normal"/>
    <w:next w:val="Normal"/>
    <w:link w:val="TitleChar"/>
    <w:uiPriority w:val="10"/>
    <w:qFormat/>
    <w:rsid w:val="001B6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E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E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E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E27"/>
    <w:pPr>
      <w:spacing w:before="160"/>
      <w:jc w:val="center"/>
    </w:pPr>
    <w:rPr>
      <w:i/>
      <w:iCs/>
      <w:color w:val="404040" w:themeColor="text1" w:themeTint="BF"/>
    </w:rPr>
  </w:style>
  <w:style w:type="character" w:customStyle="1" w:styleId="QuoteChar">
    <w:name w:val="Quote Char"/>
    <w:basedOn w:val="DefaultParagraphFont"/>
    <w:link w:val="Quote"/>
    <w:uiPriority w:val="29"/>
    <w:rsid w:val="001B6E27"/>
    <w:rPr>
      <w:i/>
      <w:iCs/>
      <w:color w:val="404040" w:themeColor="text1" w:themeTint="BF"/>
    </w:rPr>
  </w:style>
  <w:style w:type="paragraph" w:styleId="ListParagraph">
    <w:name w:val="List Paragraph"/>
    <w:basedOn w:val="Normal"/>
    <w:uiPriority w:val="34"/>
    <w:qFormat/>
    <w:rsid w:val="001B6E27"/>
    <w:pPr>
      <w:ind w:left="720"/>
      <w:contextualSpacing/>
    </w:pPr>
  </w:style>
  <w:style w:type="character" w:styleId="IntenseEmphasis">
    <w:name w:val="Intense Emphasis"/>
    <w:basedOn w:val="DefaultParagraphFont"/>
    <w:uiPriority w:val="21"/>
    <w:qFormat/>
    <w:rsid w:val="001B6E27"/>
    <w:rPr>
      <w:i/>
      <w:iCs/>
      <w:color w:val="0F4761" w:themeColor="accent1" w:themeShade="BF"/>
    </w:rPr>
  </w:style>
  <w:style w:type="paragraph" w:styleId="IntenseQuote">
    <w:name w:val="Intense Quote"/>
    <w:basedOn w:val="Normal"/>
    <w:next w:val="Normal"/>
    <w:link w:val="IntenseQuoteChar"/>
    <w:uiPriority w:val="30"/>
    <w:qFormat/>
    <w:rsid w:val="001B6E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E27"/>
    <w:rPr>
      <w:i/>
      <w:iCs/>
      <w:color w:val="0F4761" w:themeColor="accent1" w:themeShade="BF"/>
    </w:rPr>
  </w:style>
  <w:style w:type="character" w:styleId="IntenseReference">
    <w:name w:val="Intense Reference"/>
    <w:basedOn w:val="DefaultParagraphFont"/>
    <w:uiPriority w:val="32"/>
    <w:qFormat/>
    <w:rsid w:val="001B6E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DC26B2-887E-4E9A-A781-44B35145E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AA958A1-7C1C-40C1-A07A-E486D21F9579}">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826384B-6403-462D-8ACB-7840F3E208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Jones</dc:creator>
  <cp:keywords/>
  <dc:description/>
  <cp:lastModifiedBy>Trish Blackwell</cp:lastModifiedBy>
  <cp:revision>2</cp:revision>
  <dcterms:created xsi:type="dcterms:W3CDTF">2025-09-22T13:53:00Z</dcterms:created>
  <dcterms:modified xsi:type="dcterms:W3CDTF">2025-09-22T13:53:00Z</dcterms:modified>
</cp:coreProperties>
</file>